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26FF9" w14:textId="3F7DE9C7" w:rsidR="00E00D8B" w:rsidRPr="00E00D8B" w:rsidRDefault="00E00D8B" w:rsidP="006C24CC">
      <w:pPr>
        <w:jc w:val="both"/>
        <w:rPr>
          <w:b/>
          <w:bCs/>
          <w:color w:val="00B050"/>
          <w:sz w:val="30"/>
          <w:szCs w:val="30"/>
        </w:rPr>
      </w:pPr>
      <w:r w:rsidRPr="00E00D8B">
        <w:rPr>
          <w:b/>
          <w:bCs/>
          <w:color w:val="C00000"/>
          <w:sz w:val="30"/>
          <w:szCs w:val="30"/>
        </w:rPr>
        <w:t>What's new in neurology</w:t>
      </w:r>
      <w:r w:rsidRPr="00E00D8B">
        <w:rPr>
          <w:b/>
          <w:bCs/>
          <w:color w:val="C00000"/>
          <w:sz w:val="30"/>
          <w:szCs w:val="30"/>
        </w:rPr>
        <w:t xml:space="preserve">   </w:t>
      </w:r>
      <w:r w:rsidRPr="00F448A9">
        <w:rPr>
          <w:b/>
          <w:bCs/>
          <w:color w:val="00B050"/>
          <w:sz w:val="30"/>
          <w:szCs w:val="30"/>
        </w:rPr>
        <w:t>March 2025</w:t>
      </w:r>
    </w:p>
    <w:p w14:paraId="25002A1A" w14:textId="77777777" w:rsidR="00AB1DDD" w:rsidRPr="00AB1DDD" w:rsidRDefault="00AB1DDD" w:rsidP="006C24CC">
      <w:pPr>
        <w:jc w:val="both"/>
      </w:pPr>
      <w:r w:rsidRPr="00AB1DDD">
        <w:rPr>
          <w:b/>
          <w:bCs/>
        </w:rPr>
        <w:t>CEREBROVASCULAR DISEASE</w:t>
      </w:r>
    </w:p>
    <w:p w14:paraId="125BE1AB" w14:textId="77777777" w:rsidR="00AB1DDD" w:rsidRPr="00AB1DDD" w:rsidRDefault="00AB1DDD" w:rsidP="006C24CC">
      <w:pPr>
        <w:jc w:val="both"/>
      </w:pPr>
      <w:r w:rsidRPr="00AB1DDD">
        <w:rPr>
          <w:b/>
          <w:bCs/>
        </w:rPr>
        <w:t>Safety and efficacy of intravenous thrombolysis for stroke in moyamoya (March 2025)</w:t>
      </w:r>
    </w:p>
    <w:p w14:paraId="69ED15C4" w14:textId="77777777" w:rsidR="00AB1DDD" w:rsidRPr="00AB1DDD" w:rsidRDefault="00AB1DDD" w:rsidP="006C24CC">
      <w:pPr>
        <w:jc w:val="both"/>
      </w:pPr>
      <w:r w:rsidRPr="00AB1DDD">
        <w:t>Patients with moyamoya vasculopathy may present with ischemic stroke or intracranial hemorrhage due to intracranial stenosis and collateral vessels that are at risk for occlusion and rupture. The safety and efficacy of intravenous (IV) thrombolysis for acute ischemic stroke in this population are uncertain. In a retrospective analysis from a nationwide database in the United States of 3050 patients with moyamoya who had an acute ischemic stroke, the proportion of patients discharged from the hospital to home was higher in the 214 patients who received IV thrombolysis than in propensity-score matched patients who did not receive thrombolysis (54 versus 45 percent) [</w:t>
      </w:r>
      <w:hyperlink r:id="rId5" w:history="1">
        <w:r w:rsidRPr="00AB1DDD">
          <w:rPr>
            <w:rStyle w:val="Hyperlink"/>
          </w:rPr>
          <w:t>1</w:t>
        </w:r>
      </w:hyperlink>
      <w:r w:rsidRPr="00AB1DDD">
        <w:t>]. Hemorrhagic complication rates were similar between groups (7 versus 11 percent). Thrombolytic therapy may be considered on an individual basis for selected patients with moyamoya who present with disabling stroke symptoms and no history of brain hemorrhage after discussing risks and benefits. (See </w:t>
      </w:r>
      <w:hyperlink r:id="rId6" w:anchor="H2808503890" w:history="1">
        <w:r w:rsidRPr="00AB1DDD">
          <w:rPr>
            <w:rStyle w:val="Hyperlink"/>
          </w:rPr>
          <w:t>"Moyamoya disease and moyamoya syndrome: Treatment and prognosis", section on 'Transient ischemic attack and ischemic stroke'</w:t>
        </w:r>
      </w:hyperlink>
      <w:r w:rsidRPr="00AB1DDD">
        <w:t>.)</w:t>
      </w:r>
    </w:p>
    <w:p w14:paraId="4768E655" w14:textId="77777777" w:rsidR="00AB1DDD" w:rsidRPr="00AB1DDD" w:rsidRDefault="00AB1DDD" w:rsidP="006C24CC">
      <w:pPr>
        <w:jc w:val="both"/>
      </w:pPr>
      <w:r w:rsidRPr="00AB1DDD">
        <w:rPr>
          <w:b/>
          <w:bCs/>
        </w:rPr>
        <w:t>Competing risks when resuming direct oral anticoagulants after intracerebral hemorrhage (March 2025)</w:t>
      </w:r>
    </w:p>
    <w:p w14:paraId="1E591476" w14:textId="77777777" w:rsidR="00AB1DDD" w:rsidRPr="00AB1DDD" w:rsidRDefault="00AB1DDD" w:rsidP="006C24CC">
      <w:pPr>
        <w:jc w:val="both"/>
      </w:pPr>
      <w:r w:rsidRPr="00AB1DDD">
        <w:t>Patients with atrial fibrillation and intracerebral hemorrhage (ICH) often have long-term competing risks of ischemic stroke and recurrent ICH. Limited data are available to help quantify these risks in patients taking direct oral anticoagulants (DOACs). In an open-label trial of 319 patients with prior ICH and atrial fibrillation who were randomly assigned to treatment with a DOAC or withholding anticoagulation, the subsequent ischemic stroke rate was lower in those assigned to a DOAC (0.8 versus 8.6 per 100 patient-years), but this benefit was partially offset by an increase in ICH recurrence (5 versus 0.8 per 100 patient-years) [</w:t>
      </w:r>
      <w:hyperlink r:id="rId7" w:history="1">
        <w:r w:rsidRPr="00AB1DDD">
          <w:rPr>
            <w:rStyle w:val="Hyperlink"/>
          </w:rPr>
          <w:t>2</w:t>
        </w:r>
      </w:hyperlink>
      <w:r w:rsidRPr="00AB1DDD">
        <w:t>]. All-cause mortality was similar between groups, with wide confidence intervals. These data support the feasibility of resuming anticoagulation with a DOAC in selected patients with ICH but highlight the importance of shared decision-making incorporating these competing risks. (See </w:t>
      </w:r>
      <w:hyperlink r:id="rId8" w:anchor="H172077892" w:history="1">
        <w:r w:rsidRPr="00AB1DDD">
          <w:rPr>
            <w:rStyle w:val="Hyperlink"/>
          </w:rPr>
          <w:t>"Spontaneous intracerebral hemorrhage: Secondary prevention and long-term prognosis", section on 'Therapeutic options'</w:t>
        </w:r>
      </w:hyperlink>
      <w:r w:rsidRPr="00AB1DDD">
        <w:t>.)</w:t>
      </w:r>
    </w:p>
    <w:p w14:paraId="5A72B494" w14:textId="77777777" w:rsidR="00AB1DDD" w:rsidRPr="00AB1DDD" w:rsidRDefault="00AB1DDD" w:rsidP="006C24CC">
      <w:pPr>
        <w:jc w:val="both"/>
      </w:pPr>
      <w:r w:rsidRPr="00AB1DDD">
        <w:rPr>
          <w:b/>
          <w:bCs/>
        </w:rPr>
        <w:t>Bleeding risk with direct oral anticoagulants (March 2025)</w:t>
      </w:r>
    </w:p>
    <w:p w14:paraId="7D867711" w14:textId="77777777" w:rsidR="00AB1DDD" w:rsidRPr="00AB1DDD" w:rsidRDefault="00AB1DDD" w:rsidP="006C24CC">
      <w:pPr>
        <w:jc w:val="both"/>
      </w:pPr>
      <w:r w:rsidRPr="00AB1DDD">
        <w:t>Direct oral anticoagulants (DOACs) are often preferred to </w:t>
      </w:r>
      <w:hyperlink r:id="rId9" w:history="1">
        <w:r w:rsidRPr="00AB1DDD">
          <w:rPr>
            <w:rStyle w:val="Hyperlink"/>
          </w:rPr>
          <w:t>warfarin</w:t>
        </w:r>
      </w:hyperlink>
      <w:r w:rsidRPr="00AB1DDD">
        <w:t> since they do not require routine monitoring, but bleeding risks are uncertain. A new meta-analysis of data from randomized trials involving over 26,000 individuals prescribed a DOAC or low-dose </w:t>
      </w:r>
      <w:hyperlink r:id="rId10" w:history="1">
        <w:r w:rsidRPr="00AB1DDD">
          <w:rPr>
            <w:rStyle w:val="Hyperlink"/>
          </w:rPr>
          <w:t>aspirin</w:t>
        </w:r>
      </w:hyperlink>
      <w:r w:rsidRPr="00AB1DDD">
        <w:t> reported that bleeding risks with DOACs were similar to low-dose aspirin, which carries a small increased risk [</w:t>
      </w:r>
      <w:hyperlink r:id="rId11" w:history="1">
        <w:r w:rsidRPr="00AB1DDD">
          <w:rPr>
            <w:rStyle w:val="Hyperlink"/>
          </w:rPr>
          <w:t>3</w:t>
        </w:r>
      </w:hyperlink>
      <w:r w:rsidRPr="00AB1DDD">
        <w:t>]. However, clinicians should use caution when comparing bleeding risks between DOACs from different trials, as trial populations may differ and data from direct comparisons are limited. (See </w:t>
      </w:r>
      <w:hyperlink r:id="rId12" w:anchor="H398712348" w:history="1">
        <w:r w:rsidRPr="00AB1DDD">
          <w:rPr>
            <w:rStyle w:val="Hyperlink"/>
          </w:rPr>
          <w:t>"Risks and prevention of bleeding with oral anticoagulants", section on 'Drug class'</w:t>
        </w:r>
      </w:hyperlink>
      <w:r w:rsidRPr="00AB1DDD">
        <w:t>.)</w:t>
      </w:r>
    </w:p>
    <w:p w14:paraId="323D911F" w14:textId="77777777" w:rsidR="006C24CC" w:rsidRDefault="006C24CC" w:rsidP="006C24CC">
      <w:pPr>
        <w:jc w:val="both"/>
        <w:rPr>
          <w:b/>
          <w:bCs/>
        </w:rPr>
      </w:pPr>
    </w:p>
    <w:p w14:paraId="4256059F" w14:textId="44BA1828" w:rsidR="00AB1DDD" w:rsidRPr="00AB1DDD" w:rsidRDefault="00AB1DDD" w:rsidP="006C24CC">
      <w:pPr>
        <w:jc w:val="both"/>
      </w:pPr>
      <w:r w:rsidRPr="00AB1DDD">
        <w:rPr>
          <w:b/>
          <w:bCs/>
        </w:rPr>
        <w:lastRenderedPageBreak/>
        <w:t>DEMENTIA</w:t>
      </w:r>
    </w:p>
    <w:p w14:paraId="7922803F" w14:textId="77777777" w:rsidR="00AB1DDD" w:rsidRPr="00AB1DDD" w:rsidRDefault="00AB1DDD" w:rsidP="006C24CC">
      <w:pPr>
        <w:jc w:val="both"/>
      </w:pPr>
      <w:r w:rsidRPr="00AB1DDD">
        <w:rPr>
          <w:b/>
          <w:bCs/>
        </w:rPr>
        <w:t>Geriatric care management in community-dwelling patients with dementia (March 2025)</w:t>
      </w:r>
    </w:p>
    <w:p w14:paraId="3B9EE8C6" w14:textId="77777777" w:rsidR="00AB1DDD" w:rsidRPr="00AB1DDD" w:rsidRDefault="00AB1DDD" w:rsidP="006C24CC">
      <w:pPr>
        <w:jc w:val="both"/>
      </w:pPr>
      <w:r w:rsidRPr="00AB1DDD">
        <w:t>Geriatric care management can assist patients with dementia and their caregivers in accessing support services and provide guidance in patient care. In one trial of 201 patients with moderate to severe dementia and their caregivers, an intervention consisting of monthly calls from a trained nurse or social worker resulted in fewer combined emergency department and hospitalization events over 24 months (1.1 versus 2.4 mean events/patient in the intervention versus usual care group), but did not improve patient neuropsychiatric symptom severity or caregiver distress [</w:t>
      </w:r>
      <w:hyperlink r:id="rId13" w:history="1">
        <w:r w:rsidRPr="00AB1DDD">
          <w:rPr>
            <w:rStyle w:val="Hyperlink"/>
          </w:rPr>
          <w:t>14</w:t>
        </w:r>
      </w:hyperlink>
      <w:r w:rsidRPr="00AB1DDD">
        <w:t>]. While care management has the potential to improve patient outcomes, the best model for such care is not clear. (See </w:t>
      </w:r>
      <w:hyperlink r:id="rId14" w:anchor="H1519590651" w:history="1">
        <w:r w:rsidRPr="00AB1DDD">
          <w:rPr>
            <w:rStyle w:val="Hyperlink"/>
          </w:rPr>
          <w:t>"Management of the patient with dementia", section on 'Care management'</w:t>
        </w:r>
      </w:hyperlink>
      <w:r w:rsidRPr="00AB1DDD">
        <w:t>.)</w:t>
      </w:r>
    </w:p>
    <w:p w14:paraId="071585FA" w14:textId="77777777" w:rsidR="00AB1DDD" w:rsidRPr="00AB1DDD" w:rsidRDefault="00AB1DDD" w:rsidP="006C24CC">
      <w:pPr>
        <w:jc w:val="both"/>
      </w:pPr>
      <w:r w:rsidRPr="00AB1DDD">
        <w:rPr>
          <w:b/>
          <w:bCs/>
        </w:rPr>
        <w:t>MOVEMENT DISORDERS</w:t>
      </w:r>
    </w:p>
    <w:p w14:paraId="5FC16F9B" w14:textId="77777777" w:rsidR="00AB1DDD" w:rsidRPr="00AB1DDD" w:rsidRDefault="00AB1DDD" w:rsidP="006C24CC">
      <w:pPr>
        <w:jc w:val="both"/>
      </w:pPr>
      <w:r w:rsidRPr="00AB1DDD">
        <w:rPr>
          <w:b/>
          <w:bCs/>
        </w:rPr>
        <w:t>Continuous subcutaneous apomorphine infusion for advanced Parkinson disease (March 2025)</w:t>
      </w:r>
    </w:p>
    <w:p w14:paraId="1AE37875" w14:textId="77777777" w:rsidR="00AB1DDD" w:rsidRPr="00AB1DDD" w:rsidRDefault="00AB1DDD" w:rsidP="006C24CC">
      <w:pPr>
        <w:jc w:val="both"/>
      </w:pPr>
      <w:r w:rsidRPr="00AB1DDD">
        <w:t>Continuous subcutaneous </w:t>
      </w:r>
      <w:hyperlink r:id="rId15" w:history="1">
        <w:r w:rsidRPr="00AB1DDD">
          <w:rPr>
            <w:rStyle w:val="Hyperlink"/>
          </w:rPr>
          <w:t>apomorphine</w:t>
        </w:r>
      </w:hyperlink>
      <w:r w:rsidRPr="00AB1DDD">
        <w:t xml:space="preserve"> infusion (CSAI) is one of several </w:t>
      </w:r>
      <w:proofErr w:type="spellStart"/>
      <w:r w:rsidRPr="00AB1DDD">
        <w:t>infusional</w:t>
      </w:r>
      <w:proofErr w:type="spellEnd"/>
      <w:r w:rsidRPr="00AB1DDD">
        <w:t xml:space="preserve"> therapies for treatment of motor fluctuations in patients with advanced Parkinson disease (PD). CSAI has been available in Europe for many years and has now received regulatory approval for use in the United States [</w:t>
      </w:r>
      <w:hyperlink r:id="rId16" w:history="1">
        <w:r w:rsidRPr="00AB1DDD">
          <w:rPr>
            <w:rStyle w:val="Hyperlink"/>
          </w:rPr>
          <w:t>21,22</w:t>
        </w:r>
      </w:hyperlink>
      <w:r w:rsidRPr="00AB1DDD">
        <w:t>]. In a previous randomized trial, CSAI improved both "off time" and "on time" without troublesome dyskinesia by approximately two hours per day compared with </w:t>
      </w:r>
      <w:hyperlink r:id="rId17" w:history="1">
        <w:r w:rsidRPr="00AB1DDD">
          <w:rPr>
            <w:rStyle w:val="Hyperlink"/>
          </w:rPr>
          <w:t>saline</w:t>
        </w:r>
      </w:hyperlink>
      <w:r w:rsidRPr="00AB1DDD">
        <w:t> infusion. Treatment initiation requires a test dose to monitor for hypotension, antinausea premedication, and monitoring of the QTc interval. Advantages and disadvantages are similar to those of continuous infusion of </w:t>
      </w:r>
      <w:proofErr w:type="spellStart"/>
      <w:r w:rsidRPr="00AB1DDD">
        <w:fldChar w:fldCharType="begin"/>
      </w:r>
      <w:r w:rsidRPr="00AB1DDD">
        <w:instrText>HYPERLINK "https://www4.utdos.ir/contents/foslevodopa-and-foscarbidopa-drug-information?topicRef=8362&amp;source=see_link"</w:instrText>
      </w:r>
      <w:r w:rsidRPr="00AB1DDD">
        <w:fldChar w:fldCharType="separate"/>
      </w:r>
      <w:r w:rsidRPr="00AB1DDD">
        <w:rPr>
          <w:rStyle w:val="Hyperlink"/>
        </w:rPr>
        <w:t>foslevodopa-foscarbidopa</w:t>
      </w:r>
      <w:proofErr w:type="spellEnd"/>
      <w:r w:rsidRPr="00AB1DDD">
        <w:fldChar w:fldCharType="end"/>
      </w:r>
      <w:r w:rsidRPr="00AB1DDD">
        <w:t>, which was also recently approved in the United States (</w:t>
      </w:r>
      <w:hyperlink r:id="rId18" w:history="1">
        <w:r w:rsidRPr="00AB1DDD">
          <w:rPr>
            <w:rStyle w:val="Hyperlink"/>
          </w:rPr>
          <w:t>table 1</w:t>
        </w:r>
      </w:hyperlink>
      <w:r w:rsidRPr="00AB1DDD">
        <w:t>). (See </w:t>
      </w:r>
      <w:hyperlink r:id="rId19" w:anchor="H3902000227" w:history="1">
        <w:r w:rsidRPr="00AB1DDD">
          <w:rPr>
            <w:rStyle w:val="Hyperlink"/>
          </w:rPr>
          <w:t>"Device-assisted and lesioning procedures for Parkinson disease", section on 'Continuous subcutaneous apomorphine'</w:t>
        </w:r>
      </w:hyperlink>
      <w:r w:rsidRPr="00AB1DDD">
        <w:t>.)</w:t>
      </w:r>
    </w:p>
    <w:p w14:paraId="2390F09B" w14:textId="77777777" w:rsidR="00AB1DDD" w:rsidRPr="00AB1DDD" w:rsidRDefault="00AB1DDD" w:rsidP="006C24CC">
      <w:pPr>
        <w:jc w:val="both"/>
      </w:pPr>
      <w:r w:rsidRPr="00AB1DDD">
        <w:rPr>
          <w:b/>
          <w:bCs/>
        </w:rPr>
        <w:t>No benefit of GLP-1 receptor agonists in Parkinson disease (March 2025)</w:t>
      </w:r>
    </w:p>
    <w:p w14:paraId="0A6B2475" w14:textId="77777777" w:rsidR="00AB1DDD" w:rsidRPr="00AB1DDD" w:rsidRDefault="00AB1DDD" w:rsidP="006C24CC">
      <w:pPr>
        <w:jc w:val="both"/>
      </w:pPr>
      <w:r w:rsidRPr="00AB1DDD">
        <w:t>Glucagon-like peptide-1 (GLP-1) receptor agonists have been proposed as neuroprotective agents based on observations that their use in patients with diabetes may be associated with lower risk of Parkinson disease (PD). However, in two recent randomized trials of extended-release </w:t>
      </w:r>
      <w:hyperlink r:id="rId20" w:history="1">
        <w:r w:rsidRPr="00AB1DDD">
          <w:rPr>
            <w:rStyle w:val="Hyperlink"/>
          </w:rPr>
          <w:t>exenatide</w:t>
        </w:r>
      </w:hyperlink>
      <w:r w:rsidRPr="00AB1DDD">
        <w:t> formulations versus placebo in over 450 patients with PD, motor scores and rates of disease progression were similar between groups with up to 96 weeks of treatment [</w:t>
      </w:r>
      <w:hyperlink r:id="rId21" w:history="1">
        <w:r w:rsidRPr="00AB1DDD">
          <w:rPr>
            <w:rStyle w:val="Hyperlink"/>
          </w:rPr>
          <w:t>23,24</w:t>
        </w:r>
      </w:hyperlink>
      <w:r w:rsidRPr="00AB1DDD">
        <w:t>]. An earlier trial of </w:t>
      </w:r>
      <w:proofErr w:type="spellStart"/>
      <w:r w:rsidRPr="00AB1DDD">
        <w:fldChar w:fldCharType="begin"/>
      </w:r>
      <w:r w:rsidRPr="00AB1DDD">
        <w:instrText>HYPERLINK "https://www4.utdos.ir/contents/lixisenatide-united-states-and-canada-not-available-drug-information?topicRef=8362&amp;source=see_link"</w:instrText>
      </w:r>
      <w:r w:rsidRPr="00AB1DDD">
        <w:fldChar w:fldCharType="separate"/>
      </w:r>
      <w:r w:rsidRPr="00AB1DDD">
        <w:rPr>
          <w:rStyle w:val="Hyperlink"/>
        </w:rPr>
        <w:t>lixisenatide</w:t>
      </w:r>
      <w:proofErr w:type="spellEnd"/>
      <w:r w:rsidRPr="00AB1DDD">
        <w:fldChar w:fldCharType="end"/>
      </w:r>
      <w:r w:rsidRPr="00AB1DDD">
        <w:t> also failed to confirm a benefit. Thus, the available evidence does not support use of GLP-1 receptor agonists as either symptomatic or disease-modifying therapies for patients with PD. (See </w:t>
      </w:r>
      <w:hyperlink r:id="rId22" w:anchor="H298349000" w:history="1">
        <w:r w:rsidRPr="00AB1DDD">
          <w:rPr>
            <w:rStyle w:val="Hyperlink"/>
          </w:rPr>
          <w:t>"Epidemiology, pathogenesis, and genetics of Parkinson disease", section on 'Protective factors'</w:t>
        </w:r>
      </w:hyperlink>
      <w:r w:rsidRPr="00AB1DDD">
        <w:t>.)</w:t>
      </w:r>
    </w:p>
    <w:p w14:paraId="4C074554" w14:textId="77777777" w:rsidR="00AC582B" w:rsidRPr="00AC582B" w:rsidRDefault="00AC582B" w:rsidP="006C24CC">
      <w:pPr>
        <w:jc w:val="both"/>
      </w:pPr>
      <w:r w:rsidRPr="00AC582B">
        <w:rPr>
          <w:b/>
          <w:bCs/>
        </w:rPr>
        <w:t>PEDIATRIC NEUROLOGY</w:t>
      </w:r>
    </w:p>
    <w:p w14:paraId="4DFB8613" w14:textId="77777777" w:rsidR="00AC582B" w:rsidRPr="00AC582B" w:rsidRDefault="00AC582B" w:rsidP="006C24CC">
      <w:pPr>
        <w:jc w:val="both"/>
      </w:pPr>
      <w:r w:rsidRPr="00AC582B">
        <w:rPr>
          <w:b/>
          <w:bCs/>
        </w:rPr>
        <w:t>Impact of genetic testing on cerebral palsy management (March 2025)</w:t>
      </w:r>
    </w:p>
    <w:p w14:paraId="45536995" w14:textId="77777777" w:rsidR="00AC582B" w:rsidRPr="00AC582B" w:rsidRDefault="00AC582B" w:rsidP="006C24CC">
      <w:pPr>
        <w:jc w:val="both"/>
      </w:pPr>
      <w:r w:rsidRPr="00AC582B">
        <w:t xml:space="preserve">Genetic testing is increasingly performed for individuals diagnosed with cerebral palsy (CP) to identify a specific underlying cause of symptoms, but the clinical implications of testing are unclear. In a meta-analysis of studies that assessed genetic variants in children with CP and included 1841 individuals who </w:t>
      </w:r>
      <w:r w:rsidRPr="00AC582B">
        <w:lastRenderedPageBreak/>
        <w:t>underwent exome sequencing, likely pathologic variants were identified in 27 percent, and results led to a change in management in 8 percent [</w:t>
      </w:r>
      <w:hyperlink r:id="rId23" w:history="1">
        <w:r w:rsidRPr="00AC582B">
          <w:rPr>
            <w:rStyle w:val="Hyperlink"/>
          </w:rPr>
          <w:t>35</w:t>
        </w:r>
      </w:hyperlink>
      <w:r w:rsidRPr="00AC582B">
        <w:t>]. Specific interventions included the initiation of condition-specific medications, stem cell transplantation, dietary changes, and implementation of preventive measures and condition-specific monitoring. These results support the use of genetic testing both to identify underlying causes and to guide treatment of CP. (See </w:t>
      </w:r>
      <w:hyperlink r:id="rId24" w:anchor="H894399416" w:history="1">
        <w:r w:rsidRPr="00AC582B">
          <w:rPr>
            <w:rStyle w:val="Hyperlink"/>
          </w:rPr>
          <w:t>"Cerebral palsy: Evaluation and diagnosis", section on 'Metabolic and genetic testing'</w:t>
        </w:r>
      </w:hyperlink>
      <w:r w:rsidRPr="00AC582B">
        <w:t>.)</w:t>
      </w:r>
    </w:p>
    <w:p w14:paraId="6204013F" w14:textId="77777777" w:rsidR="00AB1DDD" w:rsidRDefault="00AB1DDD" w:rsidP="006C24CC">
      <w:pPr>
        <w:jc w:val="both"/>
      </w:pPr>
    </w:p>
    <w:sectPr w:rsidR="00AB1DDD" w:rsidSect="006C24CC">
      <w:pgSz w:w="12240" w:h="15840"/>
      <w:pgMar w:top="1080" w:right="1260" w:bottom="90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BE0EE3"/>
    <w:multiLevelType w:val="multilevel"/>
    <w:tmpl w:val="BEF07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93550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DD"/>
    <w:rsid w:val="000B1565"/>
    <w:rsid w:val="00313F44"/>
    <w:rsid w:val="004B5628"/>
    <w:rsid w:val="00510CCB"/>
    <w:rsid w:val="006C24CC"/>
    <w:rsid w:val="008D0060"/>
    <w:rsid w:val="00AB1DDD"/>
    <w:rsid w:val="00AC582B"/>
    <w:rsid w:val="00E00D8B"/>
    <w:rsid w:val="00E577A7"/>
    <w:rsid w:val="00F904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0399E"/>
  <w15:chartTrackingRefBased/>
  <w15:docId w15:val="{23C18F82-C6F2-402E-952A-B831D4F2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1DD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1DD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1DD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1DD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1DD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1D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1D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1D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1D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1DD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1DD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1DD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1DD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1DD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1D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1D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1D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1DDD"/>
    <w:rPr>
      <w:rFonts w:eastAsiaTheme="majorEastAsia" w:cstheme="majorBidi"/>
      <w:color w:val="272727" w:themeColor="text1" w:themeTint="D8"/>
    </w:rPr>
  </w:style>
  <w:style w:type="paragraph" w:styleId="Title">
    <w:name w:val="Title"/>
    <w:basedOn w:val="Normal"/>
    <w:next w:val="Normal"/>
    <w:link w:val="TitleChar"/>
    <w:uiPriority w:val="10"/>
    <w:qFormat/>
    <w:rsid w:val="00AB1D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1D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1D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1D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1DDD"/>
    <w:pPr>
      <w:spacing w:before="160"/>
      <w:jc w:val="center"/>
    </w:pPr>
    <w:rPr>
      <w:i/>
      <w:iCs/>
      <w:color w:val="404040" w:themeColor="text1" w:themeTint="BF"/>
    </w:rPr>
  </w:style>
  <w:style w:type="character" w:customStyle="1" w:styleId="QuoteChar">
    <w:name w:val="Quote Char"/>
    <w:basedOn w:val="DefaultParagraphFont"/>
    <w:link w:val="Quote"/>
    <w:uiPriority w:val="29"/>
    <w:rsid w:val="00AB1DDD"/>
    <w:rPr>
      <w:i/>
      <w:iCs/>
      <w:color w:val="404040" w:themeColor="text1" w:themeTint="BF"/>
    </w:rPr>
  </w:style>
  <w:style w:type="paragraph" w:styleId="ListParagraph">
    <w:name w:val="List Paragraph"/>
    <w:basedOn w:val="Normal"/>
    <w:uiPriority w:val="34"/>
    <w:qFormat/>
    <w:rsid w:val="00AB1DDD"/>
    <w:pPr>
      <w:ind w:left="720"/>
      <w:contextualSpacing/>
    </w:pPr>
  </w:style>
  <w:style w:type="character" w:styleId="IntenseEmphasis">
    <w:name w:val="Intense Emphasis"/>
    <w:basedOn w:val="DefaultParagraphFont"/>
    <w:uiPriority w:val="21"/>
    <w:qFormat/>
    <w:rsid w:val="00AB1DDD"/>
    <w:rPr>
      <w:i/>
      <w:iCs/>
      <w:color w:val="2F5496" w:themeColor="accent1" w:themeShade="BF"/>
    </w:rPr>
  </w:style>
  <w:style w:type="paragraph" w:styleId="IntenseQuote">
    <w:name w:val="Intense Quote"/>
    <w:basedOn w:val="Normal"/>
    <w:next w:val="Normal"/>
    <w:link w:val="IntenseQuoteChar"/>
    <w:uiPriority w:val="30"/>
    <w:qFormat/>
    <w:rsid w:val="00AB1DD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B1DDD"/>
    <w:rPr>
      <w:i/>
      <w:iCs/>
      <w:color w:val="2F5496" w:themeColor="accent1" w:themeShade="BF"/>
    </w:rPr>
  </w:style>
  <w:style w:type="character" w:styleId="IntenseReference">
    <w:name w:val="Intense Reference"/>
    <w:basedOn w:val="DefaultParagraphFont"/>
    <w:uiPriority w:val="32"/>
    <w:qFormat/>
    <w:rsid w:val="00AB1DDD"/>
    <w:rPr>
      <w:b/>
      <w:bCs/>
      <w:smallCaps/>
      <w:color w:val="2F5496" w:themeColor="accent1" w:themeShade="BF"/>
      <w:spacing w:val="5"/>
    </w:rPr>
  </w:style>
  <w:style w:type="character" w:styleId="Hyperlink">
    <w:name w:val="Hyperlink"/>
    <w:basedOn w:val="DefaultParagraphFont"/>
    <w:uiPriority w:val="99"/>
    <w:unhideWhenUsed/>
    <w:rsid w:val="00AB1DDD"/>
    <w:rPr>
      <w:color w:val="0563C1" w:themeColor="hyperlink"/>
      <w:u w:val="single"/>
    </w:rPr>
  </w:style>
  <w:style w:type="character" w:styleId="UnresolvedMention">
    <w:name w:val="Unresolved Mention"/>
    <w:basedOn w:val="DefaultParagraphFont"/>
    <w:uiPriority w:val="99"/>
    <w:semiHidden/>
    <w:unhideWhenUsed/>
    <w:rsid w:val="00AB1D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75542">
      <w:bodyDiv w:val="1"/>
      <w:marLeft w:val="0"/>
      <w:marRight w:val="0"/>
      <w:marTop w:val="0"/>
      <w:marBottom w:val="0"/>
      <w:divBdr>
        <w:top w:val="none" w:sz="0" w:space="0" w:color="auto"/>
        <w:left w:val="none" w:sz="0" w:space="0" w:color="auto"/>
        <w:bottom w:val="none" w:sz="0" w:space="0" w:color="auto"/>
        <w:right w:val="none" w:sz="0" w:space="0" w:color="auto"/>
      </w:divBdr>
    </w:div>
    <w:div w:id="295374944">
      <w:bodyDiv w:val="1"/>
      <w:marLeft w:val="0"/>
      <w:marRight w:val="0"/>
      <w:marTop w:val="0"/>
      <w:marBottom w:val="0"/>
      <w:divBdr>
        <w:top w:val="none" w:sz="0" w:space="0" w:color="auto"/>
        <w:left w:val="none" w:sz="0" w:space="0" w:color="auto"/>
        <w:bottom w:val="none" w:sz="0" w:space="0" w:color="auto"/>
        <w:right w:val="none" w:sz="0" w:space="0" w:color="auto"/>
      </w:divBdr>
    </w:div>
    <w:div w:id="675620986">
      <w:bodyDiv w:val="1"/>
      <w:marLeft w:val="0"/>
      <w:marRight w:val="0"/>
      <w:marTop w:val="0"/>
      <w:marBottom w:val="0"/>
      <w:divBdr>
        <w:top w:val="none" w:sz="0" w:space="0" w:color="auto"/>
        <w:left w:val="none" w:sz="0" w:space="0" w:color="auto"/>
        <w:bottom w:val="none" w:sz="0" w:space="0" w:color="auto"/>
        <w:right w:val="none" w:sz="0" w:space="0" w:color="auto"/>
      </w:divBdr>
    </w:div>
    <w:div w:id="772939435">
      <w:bodyDiv w:val="1"/>
      <w:marLeft w:val="0"/>
      <w:marRight w:val="0"/>
      <w:marTop w:val="0"/>
      <w:marBottom w:val="0"/>
      <w:divBdr>
        <w:top w:val="none" w:sz="0" w:space="0" w:color="auto"/>
        <w:left w:val="none" w:sz="0" w:space="0" w:color="auto"/>
        <w:bottom w:val="none" w:sz="0" w:space="0" w:color="auto"/>
        <w:right w:val="none" w:sz="0" w:space="0" w:color="auto"/>
      </w:divBdr>
    </w:div>
    <w:div w:id="817917281">
      <w:bodyDiv w:val="1"/>
      <w:marLeft w:val="0"/>
      <w:marRight w:val="0"/>
      <w:marTop w:val="0"/>
      <w:marBottom w:val="0"/>
      <w:divBdr>
        <w:top w:val="none" w:sz="0" w:space="0" w:color="auto"/>
        <w:left w:val="none" w:sz="0" w:space="0" w:color="auto"/>
        <w:bottom w:val="none" w:sz="0" w:space="0" w:color="auto"/>
        <w:right w:val="none" w:sz="0" w:space="0" w:color="auto"/>
      </w:divBdr>
    </w:div>
    <w:div w:id="1212379300">
      <w:bodyDiv w:val="1"/>
      <w:marLeft w:val="0"/>
      <w:marRight w:val="0"/>
      <w:marTop w:val="0"/>
      <w:marBottom w:val="0"/>
      <w:divBdr>
        <w:top w:val="none" w:sz="0" w:space="0" w:color="auto"/>
        <w:left w:val="none" w:sz="0" w:space="0" w:color="auto"/>
        <w:bottom w:val="none" w:sz="0" w:space="0" w:color="auto"/>
        <w:right w:val="none" w:sz="0" w:space="0" w:color="auto"/>
      </w:divBdr>
    </w:div>
    <w:div w:id="1365208140">
      <w:bodyDiv w:val="1"/>
      <w:marLeft w:val="0"/>
      <w:marRight w:val="0"/>
      <w:marTop w:val="0"/>
      <w:marBottom w:val="0"/>
      <w:divBdr>
        <w:top w:val="none" w:sz="0" w:space="0" w:color="auto"/>
        <w:left w:val="none" w:sz="0" w:space="0" w:color="auto"/>
        <w:bottom w:val="none" w:sz="0" w:space="0" w:color="auto"/>
        <w:right w:val="none" w:sz="0" w:space="0" w:color="auto"/>
      </w:divBdr>
      <w:divsChild>
        <w:div w:id="1414476324">
          <w:marLeft w:val="0"/>
          <w:marRight w:val="0"/>
          <w:marTop w:val="0"/>
          <w:marBottom w:val="0"/>
          <w:divBdr>
            <w:top w:val="none" w:sz="0" w:space="0" w:color="auto"/>
            <w:left w:val="none" w:sz="0" w:space="0" w:color="auto"/>
            <w:bottom w:val="single" w:sz="6" w:space="0" w:color="DADADA"/>
            <w:right w:val="none" w:sz="0" w:space="0" w:color="auto"/>
          </w:divBdr>
          <w:divsChild>
            <w:div w:id="27411646">
              <w:marLeft w:val="0"/>
              <w:marRight w:val="3225"/>
              <w:marTop w:val="0"/>
              <w:marBottom w:val="0"/>
              <w:divBdr>
                <w:top w:val="none" w:sz="0" w:space="0" w:color="auto"/>
                <w:left w:val="none" w:sz="0" w:space="0" w:color="auto"/>
                <w:bottom w:val="none" w:sz="0" w:space="0" w:color="auto"/>
                <w:right w:val="none" w:sz="0" w:space="0" w:color="auto"/>
              </w:divBdr>
            </w:div>
          </w:divsChild>
        </w:div>
        <w:div w:id="1082221433">
          <w:marLeft w:val="0"/>
          <w:marRight w:val="0"/>
          <w:marTop w:val="0"/>
          <w:marBottom w:val="0"/>
          <w:divBdr>
            <w:top w:val="none" w:sz="0" w:space="0" w:color="auto"/>
            <w:left w:val="none" w:sz="0" w:space="0" w:color="auto"/>
            <w:bottom w:val="none" w:sz="0" w:space="0" w:color="auto"/>
            <w:right w:val="none" w:sz="0" w:space="0" w:color="auto"/>
          </w:divBdr>
        </w:div>
      </w:divsChild>
    </w:div>
    <w:div w:id="1737582364">
      <w:bodyDiv w:val="1"/>
      <w:marLeft w:val="0"/>
      <w:marRight w:val="0"/>
      <w:marTop w:val="0"/>
      <w:marBottom w:val="0"/>
      <w:divBdr>
        <w:top w:val="none" w:sz="0" w:space="0" w:color="auto"/>
        <w:left w:val="none" w:sz="0" w:space="0" w:color="auto"/>
        <w:bottom w:val="none" w:sz="0" w:space="0" w:color="auto"/>
        <w:right w:val="none" w:sz="0" w:space="0" w:color="auto"/>
      </w:divBdr>
      <w:divsChild>
        <w:div w:id="419910724">
          <w:marLeft w:val="0"/>
          <w:marRight w:val="0"/>
          <w:marTop w:val="0"/>
          <w:marBottom w:val="0"/>
          <w:divBdr>
            <w:top w:val="none" w:sz="0" w:space="0" w:color="auto"/>
            <w:left w:val="none" w:sz="0" w:space="0" w:color="auto"/>
            <w:bottom w:val="single" w:sz="6" w:space="0" w:color="DADADA"/>
            <w:right w:val="none" w:sz="0" w:space="0" w:color="auto"/>
          </w:divBdr>
          <w:divsChild>
            <w:div w:id="730346033">
              <w:marLeft w:val="0"/>
              <w:marRight w:val="3225"/>
              <w:marTop w:val="0"/>
              <w:marBottom w:val="0"/>
              <w:divBdr>
                <w:top w:val="none" w:sz="0" w:space="0" w:color="auto"/>
                <w:left w:val="none" w:sz="0" w:space="0" w:color="auto"/>
                <w:bottom w:val="none" w:sz="0" w:space="0" w:color="auto"/>
                <w:right w:val="none" w:sz="0" w:space="0" w:color="auto"/>
              </w:divBdr>
            </w:div>
          </w:divsChild>
        </w:div>
        <w:div w:id="351029159">
          <w:marLeft w:val="0"/>
          <w:marRight w:val="0"/>
          <w:marTop w:val="0"/>
          <w:marBottom w:val="0"/>
          <w:divBdr>
            <w:top w:val="none" w:sz="0" w:space="0" w:color="auto"/>
            <w:left w:val="none" w:sz="0" w:space="0" w:color="auto"/>
            <w:bottom w:val="none" w:sz="0" w:space="0" w:color="auto"/>
            <w:right w:val="none" w:sz="0" w:space="0" w:color="auto"/>
          </w:divBdr>
        </w:div>
      </w:divsChild>
    </w:div>
    <w:div w:id="1860316224">
      <w:bodyDiv w:val="1"/>
      <w:marLeft w:val="0"/>
      <w:marRight w:val="0"/>
      <w:marTop w:val="0"/>
      <w:marBottom w:val="0"/>
      <w:divBdr>
        <w:top w:val="none" w:sz="0" w:space="0" w:color="auto"/>
        <w:left w:val="none" w:sz="0" w:space="0" w:color="auto"/>
        <w:bottom w:val="none" w:sz="0" w:space="0" w:color="auto"/>
        <w:right w:val="none" w:sz="0" w:space="0" w:color="auto"/>
      </w:divBdr>
    </w:div>
    <w:div w:id="198260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4.utdos.ir/contents/spontaneous-intracerebral-hemorrhage-secondary-prevention-and-long-term-prognosis?sectionName=Therapeutic%20options&amp;topicRef=8362&amp;anchor=H172077892&amp;source=see_link" TargetMode="External"/><Relationship Id="rId13" Type="http://schemas.openxmlformats.org/officeDocument/2006/relationships/hyperlink" Target="https://www4.utdos.ir/contents/whats-new-in-neurology/abstract/14" TargetMode="External"/><Relationship Id="rId18" Type="http://schemas.openxmlformats.org/officeDocument/2006/relationships/hyperlink" Target="https://www4.utdos.ir/contents/image?imageKey=NEURO%2F130126&amp;topicKey=NEURO%2F8362&amp;source=see_lin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4.utdos.ir/contents/whats-new-in-neurology/abstract/23,24" TargetMode="External"/><Relationship Id="rId7" Type="http://schemas.openxmlformats.org/officeDocument/2006/relationships/hyperlink" Target="https://www4.utdos.ir/contents/whats-new-in-neurology/abstract/2" TargetMode="External"/><Relationship Id="rId12" Type="http://schemas.openxmlformats.org/officeDocument/2006/relationships/hyperlink" Target="https://www4.utdos.ir/contents/risks-and-prevention-of-bleeding-with-oral-anticoagulants?sectionName=Drug%20class&amp;topicRef=8362&amp;anchor=H398712348&amp;source=see_link" TargetMode="External"/><Relationship Id="rId17" Type="http://schemas.openxmlformats.org/officeDocument/2006/relationships/hyperlink" Target="https://www4.utdos.ir/contents/sodium-chloride-preparations-saline-and-oral-salt-tablets-drug-information?topicRef=8362&amp;source=see_link"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4.utdos.ir/contents/whats-new-in-neurology/abstract/21,22" TargetMode="External"/><Relationship Id="rId20" Type="http://schemas.openxmlformats.org/officeDocument/2006/relationships/hyperlink" Target="https://www4.utdos.ir/contents/exenatide-drug-information?topicRef=8362&amp;source=see_link" TargetMode="External"/><Relationship Id="rId1" Type="http://schemas.openxmlformats.org/officeDocument/2006/relationships/numbering" Target="numbering.xml"/><Relationship Id="rId6" Type="http://schemas.openxmlformats.org/officeDocument/2006/relationships/hyperlink" Target="https://www4.utdos.ir/contents/moyamoya-disease-and-moyamoya-syndrome-treatment-and-prognosis?sectionName=Transient%20ischemic%20attack%20and%20ischemic%20stroke&amp;topicRef=8362&amp;anchor=H2808503890&amp;source=see_link" TargetMode="External"/><Relationship Id="rId11" Type="http://schemas.openxmlformats.org/officeDocument/2006/relationships/hyperlink" Target="https://www4.utdos.ir/contents/whats-new-in-neurology/abstract/3" TargetMode="External"/><Relationship Id="rId24" Type="http://schemas.openxmlformats.org/officeDocument/2006/relationships/hyperlink" Target="https://www4.utdos.ir/contents/cerebral-palsy-evaluation-and-diagnosis?sectionName=Metabolic%20and%20genetic%20testing&amp;topicRef=8362&amp;anchor=H894399416&amp;source=see_link" TargetMode="External"/><Relationship Id="rId5" Type="http://schemas.openxmlformats.org/officeDocument/2006/relationships/hyperlink" Target="https://www4.utdos.ir/contents/whats-new-in-neurology/abstract/1" TargetMode="External"/><Relationship Id="rId15" Type="http://schemas.openxmlformats.org/officeDocument/2006/relationships/hyperlink" Target="https://www4.utdos.ir/contents/apomorphine-drug-information?topicRef=8362&amp;source=see_link" TargetMode="External"/><Relationship Id="rId23" Type="http://schemas.openxmlformats.org/officeDocument/2006/relationships/hyperlink" Target="https://www4.utdos.ir/contents/whats-new-in-neurology/abstract/35" TargetMode="External"/><Relationship Id="rId10" Type="http://schemas.openxmlformats.org/officeDocument/2006/relationships/hyperlink" Target="https://www4.utdos.ir/contents/aspirin-drug-information?topicRef=8362&amp;source=see_link" TargetMode="External"/><Relationship Id="rId19" Type="http://schemas.openxmlformats.org/officeDocument/2006/relationships/hyperlink" Target="https://www4.utdos.ir/contents/device-assisted-and-lesioning-procedures-for-parkinson-disease?sectionName=Continuous%20subcutaneous%20apomorphine&amp;topicRef=8362&amp;anchor=H3902000227&amp;source=see_link" TargetMode="External"/><Relationship Id="rId4" Type="http://schemas.openxmlformats.org/officeDocument/2006/relationships/webSettings" Target="webSettings.xml"/><Relationship Id="rId9" Type="http://schemas.openxmlformats.org/officeDocument/2006/relationships/hyperlink" Target="https://www4.utdos.ir/contents/warfarin-drug-information?topicRef=8362&amp;source=see_link" TargetMode="External"/><Relationship Id="rId14" Type="http://schemas.openxmlformats.org/officeDocument/2006/relationships/hyperlink" Target="https://www4.utdos.ir/contents/management-of-the-patient-with-dementia?sectionName=Care%20management&amp;topicRef=8362&amp;anchor=H1519590651&amp;source=see_link" TargetMode="External"/><Relationship Id="rId22" Type="http://schemas.openxmlformats.org/officeDocument/2006/relationships/hyperlink" Target="https://www4.utdos.ir/contents/epidemiology-pathogenesis-and-genetics-of-parkinson-disease?sectionName=Protective%20factors&amp;topicRef=8362&amp;anchor=H298349000&amp;source=se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dc:creator>
  <cp:keywords/>
  <dc:description/>
  <cp:lastModifiedBy>lib</cp:lastModifiedBy>
  <cp:revision>2</cp:revision>
  <dcterms:created xsi:type="dcterms:W3CDTF">2025-03-30T06:38:00Z</dcterms:created>
  <dcterms:modified xsi:type="dcterms:W3CDTF">2025-03-30T06:44:00Z</dcterms:modified>
</cp:coreProperties>
</file>